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B1" w:rsidRPr="00D649DA" w:rsidRDefault="00176BB1" w:rsidP="00814C00">
      <w:pPr>
        <w:spacing w:line="480" w:lineRule="auto"/>
        <w:jc w:val="center"/>
        <w:rPr>
          <w:rFonts w:ascii="仿宋" w:eastAsia="仿宋" w:hAnsi="仿宋" w:cs="仿宋"/>
          <w:b/>
          <w:kern w:val="0"/>
          <w:sz w:val="36"/>
          <w:szCs w:val="36"/>
        </w:rPr>
      </w:pPr>
      <w:bookmarkStart w:id="0" w:name="_Toc343692953"/>
      <w:r w:rsidRPr="00D649DA">
        <w:rPr>
          <w:rFonts w:ascii="仿宋" w:eastAsia="仿宋" w:hAnsi="仿宋" w:cs="仿宋" w:hint="eastAsia"/>
          <w:b/>
          <w:kern w:val="0"/>
          <w:sz w:val="36"/>
          <w:szCs w:val="36"/>
        </w:rPr>
        <w:t>钢筋采购投标报价表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-</w:t>
      </w:r>
      <w:r w:rsidR="00814C00">
        <w:rPr>
          <w:rFonts w:ascii="仿宋" w:eastAsia="仿宋" w:hAnsi="仿宋" w:cs="仿宋"/>
          <w:b/>
          <w:kern w:val="0"/>
          <w:sz w:val="36"/>
          <w:szCs w:val="36"/>
        </w:rPr>
        <w:t>202</w:t>
      </w:r>
      <w:r w:rsidR="001B6777">
        <w:rPr>
          <w:rFonts w:ascii="仿宋" w:eastAsia="仿宋" w:hAnsi="仿宋" w:cs="仿宋"/>
          <w:b/>
          <w:kern w:val="0"/>
          <w:sz w:val="36"/>
          <w:szCs w:val="36"/>
        </w:rPr>
        <w:t>2</w:t>
      </w:r>
      <w:r w:rsidR="00814C00">
        <w:rPr>
          <w:rFonts w:ascii="仿宋" w:eastAsia="仿宋" w:hAnsi="仿宋" w:cs="仿宋" w:hint="eastAsia"/>
          <w:b/>
          <w:kern w:val="0"/>
          <w:sz w:val="36"/>
          <w:szCs w:val="36"/>
        </w:rPr>
        <w:t>年</w:t>
      </w:r>
      <w:r w:rsidR="001B6777">
        <w:rPr>
          <w:rFonts w:ascii="仿宋" w:eastAsia="仿宋" w:hAnsi="仿宋" w:cs="仿宋"/>
          <w:b/>
          <w:kern w:val="0"/>
          <w:sz w:val="36"/>
          <w:szCs w:val="36"/>
        </w:rPr>
        <w:t>0</w:t>
      </w:r>
      <w:r w:rsidR="004776EB">
        <w:rPr>
          <w:rFonts w:ascii="仿宋" w:eastAsia="仿宋" w:hAnsi="仿宋" w:cs="仿宋" w:hint="eastAsia"/>
          <w:b/>
          <w:kern w:val="0"/>
          <w:sz w:val="36"/>
          <w:szCs w:val="36"/>
        </w:rPr>
        <w:t>8</w:t>
      </w:r>
      <w:r w:rsidR="00D14BD5">
        <w:rPr>
          <w:rFonts w:ascii="仿宋" w:eastAsia="仿宋" w:hAnsi="仿宋" w:cs="仿宋" w:hint="eastAsia"/>
          <w:b/>
          <w:kern w:val="0"/>
          <w:sz w:val="36"/>
          <w:szCs w:val="36"/>
        </w:rPr>
        <w:t>月</w:t>
      </w:r>
    </w:p>
    <w:tbl>
      <w:tblPr>
        <w:tblW w:w="5094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590"/>
        <w:gridCol w:w="1152"/>
        <w:gridCol w:w="1177"/>
        <w:gridCol w:w="1126"/>
        <w:gridCol w:w="1626"/>
        <w:gridCol w:w="2278"/>
        <w:gridCol w:w="3735"/>
        <w:gridCol w:w="2224"/>
      </w:tblGrid>
      <w:tr w:rsidR="002C5B54" w:rsidTr="00814C00">
        <w:trPr>
          <w:trHeight w:val="360"/>
        </w:trPr>
        <w:tc>
          <w:tcPr>
            <w:tcW w:w="81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材料名称</w:t>
            </w:r>
          </w:p>
        </w:tc>
        <w:tc>
          <w:tcPr>
            <w:tcW w:w="362" w:type="pct"/>
            <w:vMerge w:val="restart"/>
            <w:vAlign w:val="center"/>
          </w:tcPr>
          <w:p w:rsidR="00814C00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材料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品牌</w:t>
            </w:r>
          </w:p>
        </w:tc>
        <w:tc>
          <w:tcPr>
            <w:tcW w:w="370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数量</w:t>
            </w:r>
          </w:p>
        </w:tc>
        <w:tc>
          <w:tcPr>
            <w:tcW w:w="354" w:type="pct"/>
            <w:vMerge w:val="restar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报价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城市</w:t>
            </w:r>
          </w:p>
        </w:tc>
        <w:tc>
          <w:tcPr>
            <w:tcW w:w="1227" w:type="pct"/>
            <w:gridSpan w:val="2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投标报价（元/吨）</w:t>
            </w:r>
          </w:p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（不含财务费用）</w:t>
            </w:r>
          </w:p>
        </w:tc>
        <w:tc>
          <w:tcPr>
            <w:tcW w:w="1174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应付未付资金占用利息（%）</w:t>
            </w:r>
          </w:p>
          <w:p w:rsidR="002C5B54" w:rsidRPr="00B75DA6" w:rsidRDefault="002C5B54" w:rsidP="007F022D">
            <w:pPr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 w:val="restar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财务费用</w:t>
            </w:r>
          </w:p>
        </w:tc>
      </w:tr>
      <w:tr w:rsidR="002C5B54" w:rsidTr="00814C00">
        <w:trPr>
          <w:trHeight w:val="652"/>
        </w:trPr>
        <w:tc>
          <w:tcPr>
            <w:tcW w:w="81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62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70" w:type="pct"/>
            <w:vMerge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354" w:type="pct"/>
            <w:vMerge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基准价</w:t>
            </w: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浮动价（上浮“+”或下浮“-”）</w:t>
            </w:r>
          </w:p>
        </w:tc>
        <w:tc>
          <w:tcPr>
            <w:tcW w:w="1174" w:type="pct"/>
            <w:vMerge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699" w:type="pct"/>
            <w:vMerge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2813"/>
        </w:trPr>
        <w:tc>
          <w:tcPr>
            <w:tcW w:w="814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钢筋（含高线、盘螺、直螺纹所有规格型号）</w:t>
            </w:r>
          </w:p>
        </w:tc>
        <w:tc>
          <w:tcPr>
            <w:tcW w:w="362" w:type="pct"/>
            <w:vAlign w:val="center"/>
          </w:tcPr>
          <w:p w:rsidR="002C5B54" w:rsidRDefault="002C5B54" w:rsidP="007F022D">
            <w:pPr>
              <w:widowControl/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大东海</w:t>
            </w:r>
          </w:p>
        </w:tc>
        <w:tc>
          <w:tcPr>
            <w:tcW w:w="370" w:type="pct"/>
            <w:vAlign w:val="center"/>
          </w:tcPr>
          <w:p w:rsidR="002C5B54" w:rsidRDefault="004776EB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900</w:t>
            </w:r>
            <w:r w:rsidR="002C5B54">
              <w:rPr>
                <w:rFonts w:ascii="仿宋" w:eastAsia="仿宋" w:hAnsi="仿宋" w:cs="仿宋" w:hint="eastAsia"/>
                <w:kern w:val="0"/>
                <w:sz w:val="24"/>
              </w:rPr>
              <w:t>吨</w:t>
            </w:r>
          </w:p>
        </w:tc>
        <w:tc>
          <w:tcPr>
            <w:tcW w:w="354" w:type="pct"/>
            <w:vAlign w:val="center"/>
          </w:tcPr>
          <w:p w:rsidR="002C5B54" w:rsidRDefault="002C5B54" w:rsidP="007F022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kern w:val="0"/>
                <w:sz w:val="24"/>
              </w:rPr>
              <w:t>福州</w:t>
            </w:r>
          </w:p>
        </w:tc>
        <w:tc>
          <w:tcPr>
            <w:tcW w:w="511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6" w:type="pct"/>
            <w:vAlign w:val="center"/>
          </w:tcPr>
          <w:p w:rsid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174" w:type="pct"/>
            <w:vAlign w:val="center"/>
          </w:tcPr>
          <w:p w:rsidR="002C5B54" w:rsidRDefault="002C5B54" w:rsidP="000207B9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如延期支付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，每逾期一日应按逾期金额的1‰向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支付违约金。在</w:t>
            </w:r>
            <w:r w:rsidRPr="00B75DA6">
              <w:rPr>
                <w:rFonts w:ascii="仿宋" w:eastAsia="仿宋" w:hAnsi="仿宋" w:cs="仿宋" w:hint="eastAsia"/>
                <w:sz w:val="24"/>
                <w:szCs w:val="24"/>
              </w:rPr>
              <w:t>付清上一批次款项前，有权拒绝供应后续批次货物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  <w:tc>
          <w:tcPr>
            <w:tcW w:w="699" w:type="pct"/>
            <w:vAlign w:val="center"/>
          </w:tcPr>
          <w:p w:rsidR="002C5B54" w:rsidRDefault="002C5B54" w:rsidP="007F022D">
            <w:pPr>
              <w:widowControl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由甲乙双方另行协商</w:t>
            </w:r>
          </w:p>
        </w:tc>
      </w:tr>
      <w:tr w:rsidR="001B3140" w:rsidTr="00814C00">
        <w:trPr>
          <w:trHeight w:val="685"/>
        </w:trPr>
        <w:tc>
          <w:tcPr>
            <w:tcW w:w="814" w:type="pct"/>
            <w:tcBorders>
              <w:bottom w:val="single" w:sz="4" w:space="0" w:color="auto"/>
            </w:tcBorders>
            <w:vAlign w:val="center"/>
          </w:tcPr>
          <w:p w:rsidR="001B3140" w:rsidRDefault="001B3140" w:rsidP="001B3140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运费报价</w:t>
            </w:r>
          </w:p>
        </w:tc>
        <w:tc>
          <w:tcPr>
            <w:tcW w:w="732" w:type="pct"/>
            <w:gridSpan w:val="2"/>
            <w:vAlign w:val="center"/>
          </w:tcPr>
          <w:p w:rsidR="001B3140" w:rsidRDefault="001B3140" w:rsidP="001B3140">
            <w:pPr>
              <w:spacing w:line="276" w:lineRule="auto"/>
              <w:ind w:firstLineChars="450" w:firstLine="1080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元/吨</w:t>
            </w:r>
          </w:p>
        </w:tc>
        <w:tc>
          <w:tcPr>
            <w:tcW w:w="2755" w:type="pct"/>
            <w:gridSpan w:val="4"/>
          </w:tcPr>
          <w:p w:rsidR="001B3140" w:rsidRDefault="001B3140" w:rsidP="000207B9">
            <w:pPr>
              <w:spacing w:line="276" w:lineRule="auto"/>
              <w:jc w:val="left"/>
              <w:rPr>
                <w:rFonts w:ascii="仿宋" w:eastAsia="仿宋" w:hAnsi="仿宋" w:cs="仿宋"/>
                <w:sz w:val="24"/>
              </w:rPr>
            </w:pPr>
            <w:r w:rsidRPr="00B75DA6">
              <w:rPr>
                <w:rFonts w:ascii="仿宋" w:eastAsia="仿宋" w:hAnsi="仿宋" w:cs="仿宋" w:hint="eastAsia"/>
                <w:kern w:val="0"/>
                <w:sz w:val="24"/>
              </w:rPr>
              <w:t>福州周边城市，采供双方根据友好协商原则在福州结算价格基础上另外加运费补偿，按采供双方均认可的路线距离，另计运费补偿。</w:t>
            </w:r>
          </w:p>
        </w:tc>
        <w:tc>
          <w:tcPr>
            <w:tcW w:w="699" w:type="pct"/>
            <w:tcBorders>
              <w:bottom w:val="single" w:sz="4" w:space="0" w:color="auto"/>
            </w:tcBorders>
          </w:tcPr>
          <w:p w:rsidR="001B3140" w:rsidRDefault="001B3140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393"/>
        </w:trPr>
        <w:tc>
          <w:tcPr>
            <w:tcW w:w="814" w:type="pct"/>
            <w:vAlign w:val="center"/>
          </w:tcPr>
          <w:p w:rsidR="002C5B54" w:rsidRPr="002C5B54" w:rsidRDefault="002C5B54" w:rsidP="002C5B54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产品数量计量标准</w:t>
            </w:r>
          </w:p>
        </w:tc>
        <w:tc>
          <w:tcPr>
            <w:tcW w:w="3487" w:type="pct"/>
            <w:gridSpan w:val="6"/>
          </w:tcPr>
          <w:p w:rsidR="002C5B54" w:rsidRDefault="002C5B54" w:rsidP="000207B9">
            <w:pPr>
              <w:widowControl/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0207B9">
              <w:rPr>
                <w:rFonts w:ascii="仿宋" w:eastAsia="仿宋" w:hAnsi="仿宋" w:cs="仿宋" w:hint="eastAsia"/>
                <w:kern w:val="0"/>
                <w:sz w:val="24"/>
              </w:rPr>
              <w:t>以生产厂家过磅为准（以理论重量结算的除外），磅差按国家标准±3‰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2C5B54" w:rsidTr="00814C00">
        <w:trPr>
          <w:trHeight w:val="769"/>
        </w:trPr>
        <w:tc>
          <w:tcPr>
            <w:tcW w:w="814" w:type="pct"/>
            <w:vAlign w:val="center"/>
          </w:tcPr>
          <w:p w:rsidR="002C5B54" w:rsidRPr="002C5B54" w:rsidRDefault="002C5B54" w:rsidP="007F022D">
            <w:pPr>
              <w:jc w:val="center"/>
              <w:rPr>
                <w:rFonts w:ascii="仿宋" w:eastAsia="仿宋" w:hAnsi="仿宋" w:cs="仿宋"/>
                <w:sz w:val="24"/>
              </w:rPr>
            </w:pPr>
            <w:r w:rsidRPr="002C5B54">
              <w:rPr>
                <w:rFonts w:ascii="仿宋" w:eastAsia="仿宋" w:hAnsi="仿宋" w:cs="仿宋" w:hint="eastAsia"/>
                <w:sz w:val="24"/>
              </w:rPr>
              <w:t>备注</w:t>
            </w:r>
          </w:p>
        </w:tc>
        <w:tc>
          <w:tcPr>
            <w:tcW w:w="3487" w:type="pct"/>
            <w:gridSpan w:val="6"/>
          </w:tcPr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以上报价为现金支付价格，保留整数。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每月25日办理对账结算，需方应在收到供方提供的对账单之日起5日内确认回签并向供方支付完成该账期内的100%货款，供方在收到该批收到款项后向需方提供相应的13%增值税专用发票。</w:t>
            </w:r>
          </w:p>
          <w:p w:rsidR="002C5B54" w:rsidRPr="002C5B54" w:rsidRDefault="002C5B54" w:rsidP="000207B9">
            <w:pPr>
              <w:widowControl/>
              <w:numPr>
                <w:ilvl w:val="0"/>
                <w:numId w:val="1"/>
              </w:numPr>
              <w:spacing w:line="276" w:lineRule="auto"/>
              <w:jc w:val="left"/>
              <w:rPr>
                <w:rFonts w:ascii="仿宋" w:eastAsia="仿宋" w:hAnsi="仿宋" w:cs="仿宋"/>
                <w:kern w:val="0"/>
                <w:sz w:val="24"/>
              </w:rPr>
            </w:pPr>
            <w:r w:rsidRPr="002C5B54">
              <w:rPr>
                <w:rFonts w:ascii="仿宋" w:eastAsia="仿宋" w:hAnsi="仿宋" w:cs="仿宋" w:hint="eastAsia"/>
                <w:kern w:val="0"/>
                <w:sz w:val="24"/>
              </w:rPr>
              <w:t>如以六个月银行承兑汇票、六个月商业汇票、银行保理、信用证等其他方式付款，双方协商，财务费用由甲方承担。</w:t>
            </w:r>
          </w:p>
        </w:tc>
        <w:tc>
          <w:tcPr>
            <w:tcW w:w="699" w:type="pct"/>
          </w:tcPr>
          <w:p w:rsidR="002C5B54" w:rsidRDefault="002C5B54" w:rsidP="007F022D">
            <w:pPr>
              <w:widowControl/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176BB1" w:rsidRDefault="00176BB1" w:rsidP="00176BB1">
      <w:pPr>
        <w:ind w:rightChars="-51" w:right="-107" w:firstLineChars="3400" w:firstLine="8160"/>
        <w:rPr>
          <w:rFonts w:ascii="仿宋" w:eastAsia="仿宋" w:hAnsi="仿宋" w:cs="仿宋"/>
          <w:sz w:val="24"/>
        </w:rPr>
      </w:pPr>
    </w:p>
    <w:p w:rsidR="00944984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>
        <w:rPr>
          <w:rFonts w:ascii="仿宋" w:eastAsia="仿宋" w:hAnsi="仿宋" w:cs="仿宋" w:hint="eastAsia"/>
          <w:sz w:val="24"/>
        </w:rPr>
        <w:t>投</w:t>
      </w:r>
      <w:r w:rsidRPr="00176BB1">
        <w:rPr>
          <w:rFonts w:ascii="仿宋" w:eastAsia="仿宋" w:hAnsi="仿宋" w:cs="仿宋" w:hint="eastAsia"/>
          <w:kern w:val="0"/>
          <w:sz w:val="24"/>
        </w:rPr>
        <w:t>标单位：</w:t>
      </w:r>
      <w:bookmarkEnd w:id="0"/>
      <w:r w:rsidR="00814C00" w:rsidRPr="00176BB1">
        <w:rPr>
          <w:rFonts w:ascii="仿宋" w:eastAsia="仿宋" w:hAnsi="仿宋" w:cs="仿宋"/>
          <w:kern w:val="0"/>
          <w:sz w:val="24"/>
        </w:rPr>
        <w:t xml:space="preserve"> </w:t>
      </w:r>
    </w:p>
    <w:p w:rsidR="00176BB1" w:rsidRPr="00176BB1" w:rsidRDefault="00176BB1" w:rsidP="000207B9">
      <w:pPr>
        <w:spacing w:line="276" w:lineRule="auto"/>
        <w:ind w:rightChars="-51" w:right="-107" w:firstLineChars="4050" w:firstLine="9720"/>
        <w:rPr>
          <w:rFonts w:ascii="仿宋" w:eastAsia="仿宋" w:hAnsi="仿宋" w:cs="仿宋"/>
          <w:kern w:val="0"/>
          <w:sz w:val="24"/>
        </w:rPr>
      </w:pPr>
      <w:r w:rsidRPr="00176BB1">
        <w:rPr>
          <w:rFonts w:ascii="仿宋" w:eastAsia="仿宋" w:hAnsi="仿宋" w:cs="仿宋" w:hint="eastAsia"/>
          <w:kern w:val="0"/>
          <w:sz w:val="24"/>
        </w:rPr>
        <w:t>日期</w:t>
      </w:r>
      <w:r w:rsidRPr="00176BB1">
        <w:rPr>
          <w:rFonts w:ascii="仿宋" w:eastAsia="仿宋" w:hAnsi="仿宋" w:cs="仿宋"/>
          <w:kern w:val="0"/>
          <w:sz w:val="24"/>
        </w:rPr>
        <w:t>：</w:t>
      </w:r>
    </w:p>
    <w:sectPr w:rsidR="00176BB1" w:rsidRPr="00176BB1" w:rsidSect="002C5B54">
      <w:headerReference w:type="default" r:id="rId7"/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81B13" w:rsidRDefault="00281B13" w:rsidP="00176BB1">
      <w:r>
        <w:separator/>
      </w:r>
    </w:p>
  </w:endnote>
  <w:endnote w:type="continuationSeparator" w:id="0">
    <w:p w:rsidR="00281B13" w:rsidRDefault="00281B13" w:rsidP="00176B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81B13" w:rsidRDefault="00281B13" w:rsidP="00176BB1">
      <w:r>
        <w:separator/>
      </w:r>
    </w:p>
  </w:footnote>
  <w:footnote w:type="continuationSeparator" w:id="0">
    <w:p w:rsidR="00281B13" w:rsidRDefault="00281B13" w:rsidP="00176B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BB1" w:rsidRDefault="00176BB1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BCFE2"/>
    <w:multiLevelType w:val="singleLevel"/>
    <w:tmpl w:val="541BCFE2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21E8"/>
    <w:rsid w:val="000207B9"/>
    <w:rsid w:val="000A5BD2"/>
    <w:rsid w:val="00172E63"/>
    <w:rsid w:val="00176BB1"/>
    <w:rsid w:val="001B3140"/>
    <w:rsid w:val="001B6777"/>
    <w:rsid w:val="00281B13"/>
    <w:rsid w:val="002C5B54"/>
    <w:rsid w:val="004776EB"/>
    <w:rsid w:val="006F2462"/>
    <w:rsid w:val="007E498E"/>
    <w:rsid w:val="00814C00"/>
    <w:rsid w:val="00906376"/>
    <w:rsid w:val="00944984"/>
    <w:rsid w:val="00C25110"/>
    <w:rsid w:val="00C85A76"/>
    <w:rsid w:val="00C87009"/>
    <w:rsid w:val="00D14BD5"/>
    <w:rsid w:val="00D649DA"/>
    <w:rsid w:val="00F62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BB1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176B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76B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76B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76BB1"/>
    <w:rPr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1B3140"/>
    <w:rPr>
      <w:sz w:val="21"/>
      <w:szCs w:val="21"/>
    </w:rPr>
  </w:style>
  <w:style w:type="paragraph" w:styleId="a6">
    <w:name w:val="annotation text"/>
    <w:basedOn w:val="a"/>
    <w:link w:val="Char1"/>
    <w:uiPriority w:val="99"/>
    <w:semiHidden/>
    <w:unhideWhenUsed/>
    <w:rsid w:val="001B3140"/>
    <w:pPr>
      <w:jc w:val="left"/>
    </w:pPr>
  </w:style>
  <w:style w:type="character" w:customStyle="1" w:styleId="Char1">
    <w:name w:val="批注文字 Char"/>
    <w:basedOn w:val="a0"/>
    <w:link w:val="a6"/>
    <w:uiPriority w:val="99"/>
    <w:semiHidden/>
    <w:rsid w:val="001B3140"/>
    <w:rPr>
      <w:rFonts w:ascii="Calibri" w:eastAsia="宋体" w:hAnsi="Calibri" w:cs="Times New Roman"/>
    </w:rPr>
  </w:style>
  <w:style w:type="paragraph" w:styleId="a7">
    <w:name w:val="annotation subject"/>
    <w:basedOn w:val="a6"/>
    <w:next w:val="a6"/>
    <w:link w:val="Char2"/>
    <w:uiPriority w:val="99"/>
    <w:semiHidden/>
    <w:unhideWhenUsed/>
    <w:rsid w:val="001B3140"/>
    <w:rPr>
      <w:b/>
      <w:bCs/>
    </w:rPr>
  </w:style>
  <w:style w:type="character" w:customStyle="1" w:styleId="Char2">
    <w:name w:val="批注主题 Char"/>
    <w:basedOn w:val="Char1"/>
    <w:link w:val="a7"/>
    <w:uiPriority w:val="99"/>
    <w:semiHidden/>
    <w:rsid w:val="001B3140"/>
    <w:rPr>
      <w:rFonts w:ascii="Calibri" w:eastAsia="宋体" w:hAnsi="Calibri" w:cs="Times New Roman"/>
      <w:b/>
      <w:bCs/>
    </w:rPr>
  </w:style>
  <w:style w:type="paragraph" w:styleId="a8">
    <w:name w:val="Balloon Text"/>
    <w:basedOn w:val="a"/>
    <w:link w:val="Char3"/>
    <w:uiPriority w:val="99"/>
    <w:semiHidden/>
    <w:unhideWhenUsed/>
    <w:rsid w:val="001B3140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1B314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Administrator</cp:lastModifiedBy>
  <cp:revision>8</cp:revision>
  <cp:lastPrinted>2021-11-09T02:27:00Z</cp:lastPrinted>
  <dcterms:created xsi:type="dcterms:W3CDTF">2021-11-09T02:25:00Z</dcterms:created>
  <dcterms:modified xsi:type="dcterms:W3CDTF">2022-12-24T13:11:00Z</dcterms:modified>
</cp:coreProperties>
</file>